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0687F" w14:textId="77777777" w:rsidR="009C79FD" w:rsidRPr="00A84C8B" w:rsidRDefault="006D4BEF" w:rsidP="008C433E">
      <w:pPr>
        <w:spacing w:after="120" w:line="288" w:lineRule="auto"/>
        <w:jc w:val="center"/>
        <w:rPr>
          <w:lang w:val="en-US"/>
        </w:rPr>
      </w:pPr>
      <w:r>
        <w:rPr>
          <w:b/>
          <w:bCs/>
          <w:lang w:val="en"/>
        </w:rPr>
        <w:t>PACKAGE INSERT</w:t>
      </w:r>
      <w:r>
        <w:rPr>
          <w:lang w:val="en"/>
        </w:rPr>
        <w:br/>
        <w:t xml:space="preserve"> </w:t>
      </w:r>
      <w:r>
        <w:rPr>
          <w:lang w:val="en"/>
        </w:rPr>
        <w:br/>
      </w:r>
      <w:r>
        <w:rPr>
          <w:b/>
          <w:bCs/>
          <w:lang w:val="en"/>
        </w:rPr>
        <w:t>CARSIL</w:t>
      </w:r>
      <w:r>
        <w:rPr>
          <w:b/>
          <w:bCs/>
          <w:vertAlign w:val="superscript"/>
          <w:lang w:val="en"/>
        </w:rPr>
        <w:t xml:space="preserve">® </w:t>
      </w:r>
      <w:r>
        <w:rPr>
          <w:b/>
          <w:bCs/>
          <w:lang w:val="en"/>
        </w:rPr>
        <w:t>FORTE</w:t>
      </w:r>
    </w:p>
    <w:p w14:paraId="25058CE8" w14:textId="77777777" w:rsidR="009A1937" w:rsidRPr="00A84C8B" w:rsidRDefault="006D4BEF" w:rsidP="008C433E">
      <w:pPr>
        <w:spacing w:after="120" w:line="288" w:lineRule="auto"/>
        <w:jc w:val="both"/>
        <w:rPr>
          <w:b/>
          <w:bCs/>
          <w:lang w:val="en-US"/>
        </w:rPr>
      </w:pPr>
      <w:r>
        <w:rPr>
          <w:b/>
          <w:bCs/>
          <w:lang w:val="en"/>
        </w:rPr>
        <w:t xml:space="preserve">Registration number </w:t>
      </w:r>
    </w:p>
    <w:p w14:paraId="60FB5FAB" w14:textId="77777777" w:rsidR="009C79FD" w:rsidRPr="00A84C8B" w:rsidRDefault="006D4BEF" w:rsidP="008C433E">
      <w:pPr>
        <w:spacing w:after="120" w:line="288" w:lineRule="auto"/>
        <w:jc w:val="both"/>
        <w:rPr>
          <w:lang w:val="en-US"/>
        </w:rPr>
      </w:pPr>
      <w:r>
        <w:rPr>
          <w:b/>
          <w:bCs/>
          <w:lang w:val="en"/>
        </w:rPr>
        <w:t>Trade name</w:t>
      </w:r>
      <w:r>
        <w:rPr>
          <w:lang w:val="en"/>
        </w:rPr>
        <w:t>: CARSIL</w:t>
      </w:r>
      <w:r>
        <w:rPr>
          <w:vertAlign w:val="superscript"/>
          <w:lang w:val="en"/>
        </w:rPr>
        <w:t xml:space="preserve">® </w:t>
      </w:r>
      <w:r>
        <w:rPr>
          <w:lang w:val="en"/>
        </w:rPr>
        <w:t>FORTE</w:t>
      </w:r>
    </w:p>
    <w:p w14:paraId="26921696" w14:textId="77777777" w:rsidR="009C79FD" w:rsidRPr="00A84C8B" w:rsidRDefault="006D4BEF" w:rsidP="008C433E">
      <w:pPr>
        <w:spacing w:after="120" w:line="288" w:lineRule="auto"/>
        <w:jc w:val="both"/>
        <w:rPr>
          <w:lang w:val="en-US"/>
        </w:rPr>
      </w:pPr>
      <w:r>
        <w:rPr>
          <w:b/>
          <w:bCs/>
          <w:lang w:val="en"/>
        </w:rPr>
        <w:t>International nonproprietary name or generic name:</w:t>
      </w:r>
    </w:p>
    <w:p w14:paraId="4D794ECF" w14:textId="77777777" w:rsidR="009C79FD" w:rsidRPr="00A84C8B" w:rsidRDefault="006D4BEF" w:rsidP="008C433E">
      <w:pPr>
        <w:spacing w:after="120" w:line="288" w:lineRule="auto"/>
        <w:jc w:val="both"/>
        <w:rPr>
          <w:lang w:val="en-US"/>
        </w:rPr>
      </w:pPr>
      <w:r>
        <w:rPr>
          <w:lang w:val="en"/>
        </w:rPr>
        <w:t>milk thistle extract</w:t>
      </w:r>
    </w:p>
    <w:p w14:paraId="41D13EA1" w14:textId="77777777" w:rsidR="009A1937" w:rsidRPr="00A84C8B" w:rsidRDefault="006D4BEF" w:rsidP="008C433E">
      <w:pPr>
        <w:spacing w:after="120" w:line="288" w:lineRule="auto"/>
        <w:jc w:val="both"/>
        <w:rPr>
          <w:lang w:val="en-US"/>
        </w:rPr>
      </w:pPr>
      <w:r>
        <w:rPr>
          <w:b/>
          <w:bCs/>
          <w:lang w:val="en"/>
        </w:rPr>
        <w:t>Pharmaceutical form:</w:t>
      </w:r>
      <w:r>
        <w:rPr>
          <w:lang w:val="en"/>
        </w:rPr>
        <w:t xml:space="preserve"> capsules </w:t>
      </w:r>
    </w:p>
    <w:p w14:paraId="135C81C1" w14:textId="77777777" w:rsidR="009C79FD" w:rsidRPr="00A84C8B" w:rsidRDefault="006D4BEF" w:rsidP="008C433E">
      <w:pPr>
        <w:spacing w:after="120" w:line="288" w:lineRule="auto"/>
        <w:jc w:val="both"/>
        <w:rPr>
          <w:lang w:val="en-US"/>
        </w:rPr>
      </w:pPr>
      <w:r>
        <w:rPr>
          <w:b/>
          <w:bCs/>
          <w:lang w:val="en"/>
        </w:rPr>
        <w:t>Composition:</w:t>
      </w:r>
    </w:p>
    <w:p w14:paraId="5EEA85BB" w14:textId="77777777" w:rsidR="009C79FD" w:rsidRPr="00A84C8B" w:rsidRDefault="006D4BEF" w:rsidP="008C433E">
      <w:pPr>
        <w:spacing w:after="120" w:line="288" w:lineRule="auto"/>
        <w:jc w:val="both"/>
        <w:rPr>
          <w:lang w:val="en-US"/>
        </w:rPr>
      </w:pPr>
      <w:r>
        <w:rPr>
          <w:lang w:val="en"/>
        </w:rPr>
        <w:t>Each capsule contains:</w:t>
      </w:r>
    </w:p>
    <w:p w14:paraId="2AEA5C91" w14:textId="77777777" w:rsidR="00A84C8B" w:rsidRDefault="00A84C8B" w:rsidP="008C433E">
      <w:pPr>
        <w:spacing w:after="120" w:line="288" w:lineRule="auto"/>
        <w:jc w:val="both"/>
        <w:rPr>
          <w:lang w:val="en"/>
        </w:rPr>
      </w:pPr>
      <w:r>
        <w:rPr>
          <w:i/>
          <w:iCs/>
          <w:lang w:val="en"/>
        </w:rPr>
        <w:t>Active substance</w:t>
      </w:r>
      <w:r>
        <w:rPr>
          <w:lang w:val="en"/>
        </w:rPr>
        <w:t>: milk thistle extract dry (equivalent to silymarin 90.0 mg): 163.6-225.0 mg.</w:t>
      </w:r>
    </w:p>
    <w:p w14:paraId="6BCE1175" w14:textId="77777777" w:rsidR="00A84C8B" w:rsidRPr="00A84C8B" w:rsidRDefault="00A84C8B" w:rsidP="00A84C8B">
      <w:pPr>
        <w:spacing w:after="120" w:line="288" w:lineRule="auto"/>
        <w:ind w:right="69"/>
        <w:jc w:val="both"/>
        <w:rPr>
          <w:lang w:val="en-US"/>
        </w:rPr>
      </w:pPr>
      <w:r w:rsidRPr="00A84C8B">
        <w:rPr>
          <w:i/>
          <w:iCs/>
          <w:lang w:val="en"/>
        </w:rPr>
        <w:t>excipients</w:t>
      </w:r>
      <w:r>
        <w:rPr>
          <w:lang w:val="en"/>
        </w:rPr>
        <w:t xml:space="preserve"> </w:t>
      </w:r>
      <w:r>
        <w:rPr>
          <w:i/>
          <w:iCs/>
          <w:lang w:val="en"/>
        </w:rPr>
        <w:t>(capsule contents):</w:t>
      </w:r>
      <w:r>
        <w:rPr>
          <w:lang w:val="en"/>
        </w:rPr>
        <w:t xml:space="preserve"> lactose monohydrate (38.2-7.5 mg), microcrystalline cellulose (type 101) (38.2-7.5 mg), wheat starch (15.5 mg), povidone K25 (3.7 mg), polysorbate-80 (3.7 mg); anhydrous colloidal silicon dioxide (3.4 mg), mannitol (80.0 mg), </w:t>
      </w:r>
      <w:proofErr w:type="spellStart"/>
      <w:r>
        <w:rPr>
          <w:lang w:val="en"/>
        </w:rPr>
        <w:t>crospovidone</w:t>
      </w:r>
      <w:proofErr w:type="spellEnd"/>
      <w:r>
        <w:rPr>
          <w:lang w:val="en"/>
        </w:rPr>
        <w:t xml:space="preserve"> (14.0 mg), sodium bicarbonate (6.0 mg), magnesium stearate (3.7 mg).</w:t>
      </w:r>
    </w:p>
    <w:p w14:paraId="24EB6A25" w14:textId="5B80A8AB" w:rsidR="009C79FD" w:rsidRPr="00A84C8B" w:rsidRDefault="00A84C8B" w:rsidP="00A84C8B">
      <w:pPr>
        <w:spacing w:after="120" w:line="288" w:lineRule="auto"/>
        <w:jc w:val="both"/>
        <w:rPr>
          <w:lang w:val="en-US"/>
        </w:rPr>
      </w:pPr>
      <w:r>
        <w:rPr>
          <w:i/>
          <w:iCs/>
          <w:lang w:val="en"/>
        </w:rPr>
        <w:t>excipients (capsule shell)</w:t>
      </w:r>
      <w:r>
        <w:rPr>
          <w:lang w:val="en"/>
        </w:rPr>
        <w:t>: iron oxide black (0.02%), iron oxide red (0.03%), titanium dioxide (0.6666%), iron oxide yellow (0.35%), gelatin (up to 100%</w:t>
      </w:r>
      <w:proofErr w:type="gramStart"/>
      <w:r>
        <w:rPr>
          <w:lang w:val="en"/>
        </w:rPr>
        <w:t>).</w:t>
      </w:r>
      <w:r w:rsidR="006D4BEF">
        <w:rPr>
          <w:b/>
          <w:bCs/>
          <w:lang w:val="en"/>
        </w:rPr>
        <w:t>Appearance</w:t>
      </w:r>
      <w:proofErr w:type="gramEnd"/>
    </w:p>
    <w:p w14:paraId="7653D31F" w14:textId="77777777" w:rsidR="009C79FD" w:rsidRPr="00A84C8B" w:rsidRDefault="006D4BEF" w:rsidP="008C433E">
      <w:pPr>
        <w:spacing w:after="120" w:line="288" w:lineRule="auto"/>
        <w:jc w:val="both"/>
        <w:rPr>
          <w:lang w:val="en-US"/>
        </w:rPr>
      </w:pPr>
      <w:r>
        <w:rPr>
          <w:lang w:val="en"/>
        </w:rPr>
        <w:t>Light brown hard gelatin capsules No. 0.</w:t>
      </w:r>
    </w:p>
    <w:p w14:paraId="08D7499F" w14:textId="77777777" w:rsidR="009C79FD" w:rsidRPr="00A84C8B" w:rsidRDefault="006D4BEF" w:rsidP="008C433E">
      <w:pPr>
        <w:spacing w:after="120" w:line="288" w:lineRule="auto"/>
        <w:jc w:val="both"/>
        <w:rPr>
          <w:lang w:val="en-US"/>
        </w:rPr>
      </w:pPr>
      <w:r>
        <w:rPr>
          <w:lang w:val="en"/>
        </w:rPr>
        <w:t>Capsule contents: light yellow to yellow-brown powder with agglomerates.</w:t>
      </w:r>
    </w:p>
    <w:p w14:paraId="463007E4" w14:textId="77777777" w:rsidR="009C79FD" w:rsidRPr="00A84C8B" w:rsidRDefault="006D4BEF" w:rsidP="008C433E">
      <w:pPr>
        <w:spacing w:after="120" w:line="288" w:lineRule="auto"/>
        <w:jc w:val="both"/>
        <w:rPr>
          <w:lang w:val="en-US"/>
        </w:rPr>
      </w:pPr>
      <w:r>
        <w:rPr>
          <w:b/>
          <w:bCs/>
          <w:lang w:val="en"/>
        </w:rPr>
        <w:t>Pharmacotherapeutic group</w:t>
      </w:r>
    </w:p>
    <w:p w14:paraId="3BAB9955" w14:textId="77777777" w:rsidR="009C79FD" w:rsidRPr="00A84C8B" w:rsidRDefault="006D4BEF" w:rsidP="008C433E">
      <w:pPr>
        <w:spacing w:after="120" w:line="288" w:lineRule="auto"/>
        <w:jc w:val="both"/>
        <w:rPr>
          <w:lang w:val="en-US"/>
        </w:rPr>
      </w:pPr>
      <w:r>
        <w:rPr>
          <w:lang w:val="en"/>
        </w:rPr>
        <w:t>Hepatoprotective agent.</w:t>
      </w:r>
    </w:p>
    <w:p w14:paraId="4126341C" w14:textId="77777777" w:rsidR="009C79FD" w:rsidRPr="00A84C8B" w:rsidRDefault="006D4BEF" w:rsidP="008C433E">
      <w:pPr>
        <w:spacing w:after="120" w:line="288" w:lineRule="auto"/>
        <w:jc w:val="both"/>
        <w:rPr>
          <w:lang w:val="en-US"/>
        </w:rPr>
      </w:pPr>
      <w:r>
        <w:rPr>
          <w:b/>
          <w:bCs/>
          <w:lang w:val="en"/>
        </w:rPr>
        <w:t xml:space="preserve">ATC code: </w:t>
      </w:r>
      <w:r>
        <w:rPr>
          <w:lang w:val="en"/>
        </w:rPr>
        <w:t>[А05ВА03]</w:t>
      </w:r>
    </w:p>
    <w:p w14:paraId="71A9F507" w14:textId="77777777" w:rsidR="009C79FD" w:rsidRPr="00A84C8B" w:rsidRDefault="006D4BEF" w:rsidP="008C433E">
      <w:pPr>
        <w:spacing w:after="120" w:line="288" w:lineRule="auto"/>
        <w:jc w:val="both"/>
        <w:rPr>
          <w:lang w:val="en-US"/>
        </w:rPr>
      </w:pPr>
      <w:r>
        <w:rPr>
          <w:b/>
          <w:bCs/>
          <w:lang w:val="en"/>
        </w:rPr>
        <w:t>Pharmacological properties</w:t>
      </w:r>
    </w:p>
    <w:p w14:paraId="39519737" w14:textId="77777777" w:rsidR="00A84C8B" w:rsidRPr="001245EA" w:rsidRDefault="00A84C8B" w:rsidP="00A84C8B">
      <w:pPr>
        <w:spacing w:after="120" w:line="288" w:lineRule="auto"/>
        <w:ind w:left="142" w:right="171"/>
        <w:jc w:val="both"/>
        <w:rPr>
          <w:lang w:val="en-US"/>
        </w:rPr>
      </w:pPr>
      <w:proofErr w:type="spellStart"/>
      <w:r w:rsidRPr="00EC5088">
        <w:rPr>
          <w:lang w:val="en"/>
        </w:rPr>
        <w:t>Carsil</w:t>
      </w:r>
      <w:proofErr w:type="spellEnd"/>
      <w:r w:rsidRPr="00EC5088">
        <w:rPr>
          <w:vertAlign w:val="superscript"/>
          <w:lang w:val="en"/>
        </w:rPr>
        <w:t>®</w:t>
      </w:r>
      <w:r w:rsidRPr="00EC5088">
        <w:rPr>
          <w:lang w:val="en"/>
        </w:rPr>
        <w:t xml:space="preserve"> Forte contains milk thistle extract, the main active ingredients of which is a mixture of 6 isomers of flavonolignans (silymarin): </w:t>
      </w:r>
      <w:proofErr w:type="spellStart"/>
      <w:r w:rsidRPr="00EC5088">
        <w:rPr>
          <w:lang w:val="en"/>
        </w:rPr>
        <w:t>silibinin</w:t>
      </w:r>
      <w:proofErr w:type="spellEnd"/>
      <w:r w:rsidRPr="00EC5088">
        <w:rPr>
          <w:lang w:val="en"/>
        </w:rPr>
        <w:t xml:space="preserve"> A and B, </w:t>
      </w:r>
      <w:proofErr w:type="spellStart"/>
      <w:r w:rsidRPr="00EC5088">
        <w:rPr>
          <w:lang w:val="en"/>
        </w:rPr>
        <w:t>isosilibinin</w:t>
      </w:r>
      <w:proofErr w:type="spellEnd"/>
      <w:r w:rsidRPr="00EC5088">
        <w:rPr>
          <w:lang w:val="en"/>
        </w:rPr>
        <w:t xml:space="preserve"> A and B, </w:t>
      </w:r>
      <w:proofErr w:type="spellStart"/>
      <w:r w:rsidRPr="00EC5088">
        <w:rPr>
          <w:lang w:val="en"/>
        </w:rPr>
        <w:t>silidianin</w:t>
      </w:r>
      <w:proofErr w:type="spellEnd"/>
      <w:r w:rsidRPr="00EC5088">
        <w:rPr>
          <w:lang w:val="en"/>
        </w:rPr>
        <w:t xml:space="preserve">, and </w:t>
      </w:r>
      <w:proofErr w:type="spellStart"/>
      <w:r w:rsidRPr="00EC5088">
        <w:rPr>
          <w:lang w:val="en"/>
        </w:rPr>
        <w:t>silichristin</w:t>
      </w:r>
      <w:proofErr w:type="spellEnd"/>
      <w:r w:rsidRPr="00EC5088">
        <w:rPr>
          <w:lang w:val="en"/>
        </w:rPr>
        <w:t xml:space="preserve">. Silibinin is the most active of them. The mechanism of hepatoprotective action is not fully understood, available data prove the presence of several basic mechanisms of action. </w:t>
      </w:r>
      <w:r w:rsidRPr="00EC5088">
        <w:rPr>
          <w:i/>
          <w:iCs/>
          <w:lang w:val="en"/>
        </w:rPr>
        <w:t>Antioxidant effect.</w:t>
      </w:r>
      <w:r w:rsidRPr="00EC5088">
        <w:rPr>
          <w:b/>
          <w:bCs/>
          <w:lang w:val="en"/>
        </w:rPr>
        <w:t xml:space="preserve"> </w:t>
      </w:r>
      <w:r w:rsidRPr="00EC5088">
        <w:rPr>
          <w:lang w:val="en"/>
        </w:rPr>
        <w:t>Silymarin interacts with free radicals in the liver and converts them into less toxic compounds, interrupting the process of lipid peroxidation, prevents the destruction of cell structures, binding to free radicals and, regulating the intracellular content of glutathione. Depending on the concentration, it inhibits microsomal peroxidation caused by NADPH-Fe</w:t>
      </w:r>
      <w:r w:rsidRPr="00EC5088">
        <w:rPr>
          <w:vertAlign w:val="superscript"/>
          <w:lang w:val="en"/>
        </w:rPr>
        <w:t>2+</w:t>
      </w:r>
      <w:r w:rsidRPr="00EC5088">
        <w:rPr>
          <w:lang w:val="en"/>
        </w:rPr>
        <w:t xml:space="preserve"> -ADP. Affects enzyme systems associated with glutathione and superoxide dismutase. The components of silymarin suppress the peroxidation of linoleic acid, catalyzed by lipoxygenase, and protect the liver mitochondria and microsomes from the formation of lipid peroxides caused by various agents.</w:t>
      </w:r>
    </w:p>
    <w:p w14:paraId="0A22DE71" w14:textId="77777777" w:rsidR="00A84C8B" w:rsidRPr="001245EA" w:rsidRDefault="00A84C8B" w:rsidP="00A84C8B">
      <w:pPr>
        <w:spacing w:after="120" w:line="288" w:lineRule="auto"/>
        <w:ind w:left="142" w:right="171"/>
        <w:jc w:val="both"/>
        <w:rPr>
          <w:lang w:val="en-US"/>
        </w:rPr>
      </w:pPr>
      <w:r w:rsidRPr="00EC5088">
        <w:rPr>
          <w:i/>
          <w:iCs/>
          <w:lang w:val="en"/>
        </w:rPr>
        <w:t xml:space="preserve">Membrane stabilizing effect. </w:t>
      </w:r>
      <w:r w:rsidRPr="00EC5088">
        <w:rPr>
          <w:lang w:val="en"/>
        </w:rPr>
        <w:t xml:space="preserve">Silymarin stabilizes cell membranes and regulates their permeability, as a result of which the entry of hepatotoxic agents into hepatocytes is prevented. </w:t>
      </w:r>
      <w:r w:rsidRPr="00EC5088">
        <w:rPr>
          <w:lang w:val="en"/>
        </w:rPr>
        <w:lastRenderedPageBreak/>
        <w:t>It was established that the membrane-stabilizing effect of silymarin is due to its competing interaction with receptors for the corresponding toxins on the hepatocyte membrane. The effect of silymarin on membrane permeability is associated with qualitative and quantitative changes in membrane lipids: cholesterol and phospholipids.</w:t>
      </w:r>
    </w:p>
    <w:p w14:paraId="76BC5722" w14:textId="77777777" w:rsidR="00A84C8B" w:rsidRPr="001245EA" w:rsidRDefault="00A84C8B" w:rsidP="00A84C8B">
      <w:pPr>
        <w:spacing w:after="120" w:line="288" w:lineRule="auto"/>
        <w:ind w:left="142" w:right="171"/>
        <w:jc w:val="both"/>
        <w:rPr>
          <w:lang w:val="en-US"/>
        </w:rPr>
      </w:pPr>
      <w:r w:rsidRPr="00EC5088">
        <w:rPr>
          <w:lang w:val="en"/>
        </w:rPr>
        <w:t>Silymarin stimulates regeneration processes in the liver (restoration of damaged hepatocytes) as a result of activation of the synthesis of structural and functional proteins (ribosomal synthesis of RNA, protein, and DNA) and phospholipids. It has been experimentally established that silymarin also inhibits the transformation of star-shaped liver cells into myofibroblasts, the process responsible for the location of collagen fibers.</w:t>
      </w:r>
    </w:p>
    <w:p w14:paraId="3267BB7F" w14:textId="77777777" w:rsidR="00A84C8B" w:rsidRPr="001245EA" w:rsidRDefault="00A84C8B" w:rsidP="00A84C8B">
      <w:pPr>
        <w:spacing w:after="120" w:line="288" w:lineRule="auto"/>
        <w:ind w:left="142" w:right="171"/>
        <w:jc w:val="both"/>
        <w:rPr>
          <w:lang w:val="en-US"/>
        </w:rPr>
      </w:pPr>
      <w:r w:rsidRPr="00EC5088">
        <w:rPr>
          <w:i/>
          <w:iCs/>
          <w:lang w:val="en"/>
        </w:rPr>
        <w:t>Anti-inflammatory effect.</w:t>
      </w:r>
      <w:r w:rsidRPr="00EC5088">
        <w:rPr>
          <w:lang w:val="en"/>
        </w:rPr>
        <w:t xml:space="preserve"> Experimental studies demonstrated that silybin at a certain concentration can inhibit the synthesis of leukotriene B</w:t>
      </w:r>
      <w:r w:rsidRPr="00EC5088">
        <w:rPr>
          <w:vertAlign w:val="subscript"/>
          <w:lang w:val="en"/>
        </w:rPr>
        <w:t>4</w:t>
      </w:r>
      <w:r w:rsidRPr="00EC5088">
        <w:rPr>
          <w:lang w:val="en"/>
        </w:rPr>
        <w:t xml:space="preserve"> (leukotriene B4/LTB</w:t>
      </w:r>
      <w:r w:rsidRPr="00EC5088">
        <w:rPr>
          <w:vertAlign w:val="subscript"/>
          <w:lang w:val="en"/>
        </w:rPr>
        <w:t>4</w:t>
      </w:r>
      <w:r w:rsidRPr="00EC5088">
        <w:rPr>
          <w:lang w:val="en"/>
        </w:rPr>
        <w:t xml:space="preserve">) in isolated animal Kupffer cells. Silymarin, silybin, </w:t>
      </w:r>
      <w:proofErr w:type="spellStart"/>
      <w:r w:rsidRPr="00EC5088">
        <w:rPr>
          <w:lang w:val="en"/>
        </w:rPr>
        <w:t>silidianin</w:t>
      </w:r>
      <w:proofErr w:type="spellEnd"/>
      <w:r w:rsidRPr="00EC5088">
        <w:rPr>
          <w:lang w:val="en"/>
        </w:rPr>
        <w:t xml:space="preserve"> and </w:t>
      </w:r>
      <w:proofErr w:type="spellStart"/>
      <w:r w:rsidRPr="00EC5088">
        <w:rPr>
          <w:lang w:val="en"/>
        </w:rPr>
        <w:t>silichristine</w:t>
      </w:r>
      <w:proofErr w:type="spellEnd"/>
      <w:r w:rsidRPr="00EC5088">
        <w:rPr>
          <w:lang w:val="en"/>
        </w:rPr>
        <w:t xml:space="preserve"> inhibit in vitro activity of lipoxygenase and prostaglandin synthase. In vitro studies on human polymorphonuclear leukocytes demonstrated that one of the mechanisms for the implementation of the anti-inflammatory effect of silybin is the suppression of the formation of hydrogen peroxide.</w:t>
      </w:r>
    </w:p>
    <w:p w14:paraId="5090D2A0" w14:textId="77777777" w:rsidR="00A84C8B" w:rsidRPr="001245EA" w:rsidRDefault="00A84C8B" w:rsidP="00A84C8B">
      <w:pPr>
        <w:spacing w:after="120" w:line="288" w:lineRule="auto"/>
        <w:ind w:left="142" w:right="171"/>
        <w:jc w:val="both"/>
        <w:rPr>
          <w:lang w:val="en-US"/>
        </w:rPr>
      </w:pPr>
      <w:r w:rsidRPr="00EC5088">
        <w:rPr>
          <w:lang w:val="en"/>
        </w:rPr>
        <w:t>Clinically, the pharmacodynamic properties of silymarin are manifested in the improvement of subjective and objective symptoms and normalization of the liver functional state parameters (transaminases, gamma globulin, bilirubin).</w:t>
      </w:r>
    </w:p>
    <w:p w14:paraId="5EED15A5" w14:textId="77777777" w:rsidR="00A84C8B" w:rsidRPr="001245EA" w:rsidRDefault="00A84C8B" w:rsidP="00A84C8B">
      <w:pPr>
        <w:spacing w:after="120" w:line="288" w:lineRule="auto"/>
        <w:ind w:left="142" w:right="171"/>
        <w:jc w:val="both"/>
        <w:rPr>
          <w:b/>
          <w:lang w:val="en-US"/>
        </w:rPr>
      </w:pPr>
      <w:r w:rsidRPr="00EC5088">
        <w:rPr>
          <w:b/>
          <w:bCs/>
          <w:i/>
          <w:iCs/>
          <w:lang w:val="en"/>
        </w:rPr>
        <w:t>Pharmacokinetics:</w:t>
      </w:r>
    </w:p>
    <w:p w14:paraId="48644CC2" w14:textId="77777777" w:rsidR="00A84C8B" w:rsidRPr="001245EA" w:rsidRDefault="00A84C8B" w:rsidP="00A84C8B">
      <w:pPr>
        <w:spacing w:after="120" w:line="288" w:lineRule="auto"/>
        <w:ind w:left="142" w:right="171"/>
        <w:jc w:val="both"/>
        <w:rPr>
          <w:lang w:val="en-US"/>
        </w:rPr>
      </w:pPr>
      <w:r w:rsidRPr="00EC5088">
        <w:rPr>
          <w:i/>
          <w:iCs/>
          <w:lang w:val="en"/>
        </w:rPr>
        <w:t>Absorption</w:t>
      </w:r>
    </w:p>
    <w:p w14:paraId="4AE184F2" w14:textId="77777777" w:rsidR="00A84C8B" w:rsidRPr="001245EA" w:rsidRDefault="00A84C8B" w:rsidP="00A84C8B">
      <w:pPr>
        <w:spacing w:after="120" w:line="288" w:lineRule="auto"/>
        <w:ind w:left="142" w:right="171"/>
        <w:jc w:val="both"/>
        <w:rPr>
          <w:lang w:val="en-US"/>
        </w:rPr>
      </w:pPr>
      <w:r w:rsidRPr="00EC5088">
        <w:rPr>
          <w:lang w:val="en"/>
        </w:rPr>
        <w:t>Following oral administration, silymarin is not completely absorbed from the gastrointestinal tract (GIT) (up to 23-47%). The peak plasma concentration is achieved 4-6 hours after oral administration of a single dose.</w:t>
      </w:r>
    </w:p>
    <w:p w14:paraId="48B602EB" w14:textId="77777777" w:rsidR="00A84C8B" w:rsidRPr="001245EA" w:rsidRDefault="00A84C8B" w:rsidP="00A84C8B">
      <w:pPr>
        <w:spacing w:after="120" w:line="288" w:lineRule="auto"/>
        <w:ind w:left="142" w:right="171"/>
        <w:jc w:val="both"/>
        <w:rPr>
          <w:lang w:val="en-US"/>
        </w:rPr>
      </w:pPr>
      <w:r w:rsidRPr="00EC5088">
        <w:rPr>
          <w:i/>
          <w:iCs/>
          <w:lang w:val="en"/>
        </w:rPr>
        <w:t>Distribution</w:t>
      </w:r>
    </w:p>
    <w:p w14:paraId="099AC465" w14:textId="77777777" w:rsidR="00A84C8B" w:rsidRPr="001245EA" w:rsidRDefault="00A84C8B" w:rsidP="00A84C8B">
      <w:pPr>
        <w:spacing w:after="120" w:line="288" w:lineRule="auto"/>
        <w:ind w:left="142" w:right="171"/>
        <w:jc w:val="both"/>
        <w:rPr>
          <w:lang w:val="en-US"/>
        </w:rPr>
      </w:pPr>
      <w:r w:rsidRPr="00EC5088">
        <w:rPr>
          <w:lang w:val="en"/>
        </w:rPr>
        <w:t>In studies with C</w:t>
      </w:r>
      <w:r w:rsidRPr="00EC5088">
        <w:rPr>
          <w:vertAlign w:val="superscript"/>
          <w:lang w:val="en"/>
        </w:rPr>
        <w:t>14</w:t>
      </w:r>
      <w:r w:rsidRPr="00EC5088">
        <w:rPr>
          <w:lang w:val="en"/>
        </w:rPr>
        <w:t xml:space="preserve"> labeled </w:t>
      </w:r>
      <w:proofErr w:type="spellStart"/>
      <w:r w:rsidRPr="00EC5088">
        <w:rPr>
          <w:lang w:val="en"/>
        </w:rPr>
        <w:t>silibinin</w:t>
      </w:r>
      <w:proofErr w:type="spellEnd"/>
      <w:r w:rsidRPr="00EC5088">
        <w:rPr>
          <w:lang w:val="en"/>
        </w:rPr>
        <w:t>, the highest concentrations were found in the liver, lungs, stomach and pancreas, and in small amounts in the kidneys, heart, and other organs.</w:t>
      </w:r>
    </w:p>
    <w:p w14:paraId="116D1410" w14:textId="77777777" w:rsidR="00A84C8B" w:rsidRPr="001245EA" w:rsidRDefault="00A84C8B" w:rsidP="00A84C8B">
      <w:pPr>
        <w:spacing w:after="120" w:line="288" w:lineRule="auto"/>
        <w:ind w:left="142" w:right="171"/>
        <w:jc w:val="both"/>
        <w:rPr>
          <w:lang w:val="en-US"/>
        </w:rPr>
      </w:pPr>
      <w:r w:rsidRPr="00EC5088">
        <w:rPr>
          <w:i/>
          <w:iCs/>
          <w:lang w:val="en"/>
        </w:rPr>
        <w:t>Metabolism</w:t>
      </w:r>
    </w:p>
    <w:p w14:paraId="20A75439" w14:textId="77777777" w:rsidR="00A84C8B" w:rsidRPr="001245EA" w:rsidRDefault="00A84C8B" w:rsidP="00A84C8B">
      <w:pPr>
        <w:spacing w:after="120" w:line="288" w:lineRule="auto"/>
        <w:ind w:left="142" w:right="171"/>
        <w:jc w:val="both"/>
        <w:rPr>
          <w:lang w:val="en-US"/>
        </w:rPr>
      </w:pPr>
      <w:r w:rsidRPr="00EC5088">
        <w:rPr>
          <w:lang w:val="en"/>
        </w:rPr>
        <w:t>Silymarin undergoes enterohepatic recirculation. Silymarin is metabolized in the liver by conjugation with sulfates and glucuronic acid. Glucuronides and sulfates were found in bile as metabolites.</w:t>
      </w:r>
    </w:p>
    <w:p w14:paraId="4E56E134" w14:textId="77777777" w:rsidR="00A84C8B" w:rsidRPr="001245EA" w:rsidRDefault="00A84C8B" w:rsidP="00A84C8B">
      <w:pPr>
        <w:spacing w:after="120" w:line="288" w:lineRule="auto"/>
        <w:ind w:left="142" w:right="171"/>
        <w:jc w:val="both"/>
        <w:rPr>
          <w:lang w:val="en-US"/>
        </w:rPr>
      </w:pPr>
      <w:r w:rsidRPr="00EC5088">
        <w:rPr>
          <w:i/>
          <w:iCs/>
          <w:lang w:val="en"/>
        </w:rPr>
        <w:t>Elimination</w:t>
      </w:r>
    </w:p>
    <w:p w14:paraId="760A6134" w14:textId="77777777" w:rsidR="00A84C8B" w:rsidRPr="001245EA" w:rsidRDefault="00A84C8B" w:rsidP="00A84C8B">
      <w:pPr>
        <w:spacing w:after="120" w:line="288" w:lineRule="auto"/>
        <w:ind w:left="142" w:right="171"/>
        <w:jc w:val="both"/>
        <w:rPr>
          <w:lang w:val="en-US"/>
        </w:rPr>
      </w:pPr>
      <w:r w:rsidRPr="00EC5088">
        <w:rPr>
          <w:lang w:val="en"/>
        </w:rPr>
        <w:t>The half-life is 1-3 hours for unchanged silymarin and 6-8 hours for its metabolites. Silymarin is excreted primarily in bile (about 80%) in the form of glucuronides and sulfates and to a small extent (about 5%) via the kidneys as unchanged substance. No accumulation occurs.</w:t>
      </w:r>
    </w:p>
    <w:p w14:paraId="75DD22EB" w14:textId="77777777" w:rsidR="009C79FD" w:rsidRPr="00A84C8B" w:rsidRDefault="006D4BEF" w:rsidP="008C433E">
      <w:pPr>
        <w:spacing w:after="120" w:line="288" w:lineRule="auto"/>
        <w:jc w:val="both"/>
        <w:rPr>
          <w:lang w:val="en-US"/>
        </w:rPr>
      </w:pPr>
      <w:r>
        <w:rPr>
          <w:b/>
          <w:bCs/>
          <w:lang w:val="en"/>
        </w:rPr>
        <w:t>Therapeutic indications</w:t>
      </w:r>
    </w:p>
    <w:p w14:paraId="3F917EEB" w14:textId="77777777" w:rsidR="009C79FD" w:rsidRPr="00A84C8B" w:rsidRDefault="006D4BEF" w:rsidP="008C433E">
      <w:pPr>
        <w:spacing w:after="120" w:line="288" w:lineRule="auto"/>
        <w:jc w:val="both"/>
        <w:rPr>
          <w:lang w:val="en-US"/>
        </w:rPr>
      </w:pPr>
      <w:r>
        <w:rPr>
          <w:lang w:val="en"/>
        </w:rPr>
        <w:t>As a part of the combination therapy of:</w:t>
      </w:r>
    </w:p>
    <w:p w14:paraId="4BBEC66D" w14:textId="77777777" w:rsidR="009A1937" w:rsidRDefault="006D4BEF" w:rsidP="008C433E">
      <w:pPr>
        <w:pStyle w:val="ListParagraph"/>
        <w:numPr>
          <w:ilvl w:val="0"/>
          <w:numId w:val="4"/>
        </w:numPr>
        <w:spacing w:after="120" w:line="288" w:lineRule="auto"/>
        <w:jc w:val="both"/>
      </w:pPr>
      <w:r>
        <w:rPr>
          <w:lang w:val="en"/>
        </w:rPr>
        <w:t xml:space="preserve">toxic liver disease; </w:t>
      </w:r>
    </w:p>
    <w:p w14:paraId="70CF2141" w14:textId="77777777" w:rsidR="009A1937" w:rsidRDefault="006D4BEF" w:rsidP="008C433E">
      <w:pPr>
        <w:pStyle w:val="ListParagraph"/>
        <w:numPr>
          <w:ilvl w:val="0"/>
          <w:numId w:val="4"/>
        </w:numPr>
        <w:spacing w:after="120" w:line="288" w:lineRule="auto"/>
        <w:jc w:val="both"/>
      </w:pPr>
      <w:r>
        <w:rPr>
          <w:lang w:val="en"/>
        </w:rPr>
        <w:t xml:space="preserve">conditions after acute hepatitis; </w:t>
      </w:r>
    </w:p>
    <w:p w14:paraId="553BBCC3" w14:textId="77777777" w:rsidR="009A1937" w:rsidRPr="00A84C8B" w:rsidRDefault="006D4BEF" w:rsidP="008C433E">
      <w:pPr>
        <w:pStyle w:val="ListParagraph"/>
        <w:numPr>
          <w:ilvl w:val="0"/>
          <w:numId w:val="4"/>
        </w:numPr>
        <w:spacing w:after="120" w:line="288" w:lineRule="auto"/>
        <w:jc w:val="both"/>
        <w:rPr>
          <w:lang w:val="en-US"/>
        </w:rPr>
      </w:pPr>
      <w:r>
        <w:rPr>
          <w:lang w:val="en"/>
        </w:rPr>
        <w:lastRenderedPageBreak/>
        <w:t xml:space="preserve">chronic hepatitis of non-viral etiology; </w:t>
      </w:r>
    </w:p>
    <w:p w14:paraId="6FC5724F" w14:textId="77777777" w:rsidR="009A1937" w:rsidRPr="00A84C8B" w:rsidRDefault="006D4BEF" w:rsidP="008C433E">
      <w:pPr>
        <w:pStyle w:val="ListParagraph"/>
        <w:numPr>
          <w:ilvl w:val="0"/>
          <w:numId w:val="4"/>
        </w:numPr>
        <w:spacing w:after="120" w:line="288" w:lineRule="auto"/>
        <w:jc w:val="both"/>
        <w:rPr>
          <w:lang w:val="en-US"/>
        </w:rPr>
      </w:pPr>
      <w:r>
        <w:rPr>
          <w:lang w:val="en"/>
        </w:rPr>
        <w:t xml:space="preserve">hepatic steatosis (non-alcoholic and alcoholic); </w:t>
      </w:r>
    </w:p>
    <w:p w14:paraId="04BF2901" w14:textId="77777777" w:rsidR="009C79FD" w:rsidRPr="009A1937" w:rsidRDefault="006D4BEF" w:rsidP="008C433E">
      <w:pPr>
        <w:pStyle w:val="ListParagraph"/>
        <w:numPr>
          <w:ilvl w:val="0"/>
          <w:numId w:val="4"/>
        </w:numPr>
        <w:spacing w:after="120" w:line="288" w:lineRule="auto"/>
        <w:jc w:val="both"/>
      </w:pPr>
      <w:r>
        <w:rPr>
          <w:lang w:val="en"/>
        </w:rPr>
        <w:t>hepatic cirrhosis;</w:t>
      </w:r>
    </w:p>
    <w:p w14:paraId="3494B8D9" w14:textId="77777777" w:rsidR="009C79FD" w:rsidRPr="00A84C8B" w:rsidRDefault="006D4BEF" w:rsidP="008C433E">
      <w:pPr>
        <w:pStyle w:val="ListParagraph"/>
        <w:numPr>
          <w:ilvl w:val="0"/>
          <w:numId w:val="4"/>
        </w:numPr>
        <w:spacing w:after="120" w:line="288" w:lineRule="auto"/>
        <w:jc w:val="both"/>
        <w:rPr>
          <w:lang w:val="en-US"/>
        </w:rPr>
      </w:pPr>
      <w:r>
        <w:rPr>
          <w:lang w:val="en"/>
        </w:rPr>
        <w:t>prophylaxis of liver damage due to prolonged use of drugs, alcohol, and chronic intoxication (including professional).</w:t>
      </w:r>
    </w:p>
    <w:p w14:paraId="48841A20" w14:textId="77777777" w:rsidR="009C79FD" w:rsidRPr="009A1937" w:rsidRDefault="006D4BEF" w:rsidP="008C433E">
      <w:pPr>
        <w:spacing w:after="120" w:line="288" w:lineRule="auto"/>
        <w:jc w:val="both"/>
      </w:pPr>
      <w:r>
        <w:rPr>
          <w:b/>
          <w:bCs/>
          <w:lang w:val="en"/>
        </w:rPr>
        <w:t>Contraindications</w:t>
      </w:r>
    </w:p>
    <w:p w14:paraId="0EEB076F" w14:textId="77777777" w:rsidR="009C79FD" w:rsidRPr="00A84C8B" w:rsidRDefault="006D4BEF" w:rsidP="008C433E">
      <w:pPr>
        <w:pStyle w:val="ListParagraph"/>
        <w:numPr>
          <w:ilvl w:val="0"/>
          <w:numId w:val="5"/>
        </w:numPr>
        <w:tabs>
          <w:tab w:val="left" w:pos="808"/>
        </w:tabs>
        <w:spacing w:after="120" w:line="288" w:lineRule="auto"/>
        <w:jc w:val="both"/>
        <w:rPr>
          <w:lang w:val="en-US"/>
        </w:rPr>
      </w:pPr>
      <w:r>
        <w:rPr>
          <w:lang w:val="en"/>
        </w:rPr>
        <w:t>Hypersensitivity to the active substance or any of the excipients;</w:t>
      </w:r>
    </w:p>
    <w:p w14:paraId="6988DD93" w14:textId="77777777" w:rsidR="009C79FD" w:rsidRPr="00A84C8B" w:rsidRDefault="006D4BEF" w:rsidP="008C433E">
      <w:pPr>
        <w:pStyle w:val="ListParagraph"/>
        <w:numPr>
          <w:ilvl w:val="0"/>
          <w:numId w:val="5"/>
        </w:numPr>
        <w:tabs>
          <w:tab w:val="left" w:pos="813"/>
        </w:tabs>
        <w:spacing w:after="120" w:line="288" w:lineRule="auto"/>
        <w:jc w:val="both"/>
        <w:rPr>
          <w:lang w:val="en-US"/>
        </w:rPr>
      </w:pPr>
      <w:r>
        <w:rPr>
          <w:lang w:val="en"/>
        </w:rPr>
        <w:t>Children under 12 years of age;</w:t>
      </w:r>
    </w:p>
    <w:p w14:paraId="42A94FB5" w14:textId="77777777" w:rsidR="009C79FD" w:rsidRPr="00A84C8B" w:rsidRDefault="006D4BEF" w:rsidP="008C433E">
      <w:pPr>
        <w:pStyle w:val="ListParagraph"/>
        <w:numPr>
          <w:ilvl w:val="0"/>
          <w:numId w:val="5"/>
        </w:numPr>
        <w:tabs>
          <w:tab w:val="left" w:pos="813"/>
        </w:tabs>
        <w:spacing w:after="120" w:line="288" w:lineRule="auto"/>
        <w:jc w:val="both"/>
        <w:rPr>
          <w:lang w:val="en-US"/>
        </w:rPr>
      </w:pPr>
      <w:r>
        <w:rPr>
          <w:lang w:val="en"/>
        </w:rPr>
        <w:t>Lactase deficiency, galactosemia, or glucose/galactose malabsorption (due to the presence of lactose in the medicinal product).</w:t>
      </w:r>
    </w:p>
    <w:p w14:paraId="74639D88" w14:textId="77777777" w:rsidR="009C79FD" w:rsidRPr="00A84C8B" w:rsidRDefault="006D4BEF" w:rsidP="008C433E">
      <w:pPr>
        <w:pStyle w:val="ListParagraph"/>
        <w:numPr>
          <w:ilvl w:val="0"/>
          <w:numId w:val="5"/>
        </w:numPr>
        <w:tabs>
          <w:tab w:val="left" w:pos="813"/>
        </w:tabs>
        <w:spacing w:after="120" w:line="288" w:lineRule="auto"/>
        <w:jc w:val="both"/>
        <w:rPr>
          <w:lang w:val="en-US"/>
        </w:rPr>
      </w:pPr>
      <w:r>
        <w:rPr>
          <w:lang w:val="en"/>
        </w:rPr>
        <w:t>Celiac disease (gluten-sensitive enteropathy) (due to the presence of wheat starch in the product).</w:t>
      </w:r>
    </w:p>
    <w:p w14:paraId="2C9F4EE3" w14:textId="77777777" w:rsidR="009C79FD" w:rsidRPr="00A84C8B" w:rsidRDefault="006D4BEF" w:rsidP="008C433E">
      <w:pPr>
        <w:spacing w:after="120" w:line="288" w:lineRule="auto"/>
        <w:jc w:val="both"/>
        <w:rPr>
          <w:lang w:val="en-US"/>
        </w:rPr>
      </w:pPr>
      <w:r>
        <w:rPr>
          <w:b/>
          <w:bCs/>
          <w:i/>
          <w:iCs/>
          <w:lang w:val="en"/>
        </w:rPr>
        <w:t>Use with caution</w:t>
      </w:r>
      <w:r>
        <w:rPr>
          <w:lang w:val="en"/>
        </w:rPr>
        <w:t>: patients with hormonal disorders (endometriosis, uterine fibroids, carcinoma of the breast, ovaries, and uterus; prostate carcinoma) due to the possible manifestation of the estrogen-like effect of silymarin.</w:t>
      </w:r>
    </w:p>
    <w:p w14:paraId="76A22444" w14:textId="77777777" w:rsidR="009C79FD" w:rsidRPr="00A84C8B" w:rsidRDefault="006D4BEF" w:rsidP="008C433E">
      <w:pPr>
        <w:spacing w:after="120" w:line="288" w:lineRule="auto"/>
        <w:jc w:val="both"/>
        <w:rPr>
          <w:lang w:val="en-US"/>
        </w:rPr>
      </w:pPr>
      <w:r>
        <w:rPr>
          <w:b/>
          <w:bCs/>
          <w:lang w:val="en"/>
        </w:rPr>
        <w:t>Pregnancy and lactation</w:t>
      </w:r>
    </w:p>
    <w:p w14:paraId="455641AF" w14:textId="77777777" w:rsidR="009C79FD" w:rsidRPr="00A84C8B" w:rsidRDefault="006D4BEF" w:rsidP="008C433E">
      <w:pPr>
        <w:spacing w:after="120" w:line="288" w:lineRule="auto"/>
        <w:jc w:val="both"/>
        <w:rPr>
          <w:lang w:val="en-US"/>
        </w:rPr>
      </w:pPr>
      <w:r>
        <w:rPr>
          <w:lang w:val="en"/>
        </w:rPr>
        <w:t>The use of the medicinal product during pregnancy and lactation is not recommended.</w:t>
      </w:r>
    </w:p>
    <w:p w14:paraId="1922AF84" w14:textId="77777777" w:rsidR="009C79FD" w:rsidRPr="00A84C8B" w:rsidRDefault="006D4BEF" w:rsidP="008C433E">
      <w:pPr>
        <w:spacing w:after="120" w:line="288" w:lineRule="auto"/>
        <w:jc w:val="both"/>
        <w:rPr>
          <w:lang w:val="en-US"/>
        </w:rPr>
      </w:pPr>
      <w:r>
        <w:rPr>
          <w:b/>
          <w:bCs/>
          <w:lang w:val="en"/>
        </w:rPr>
        <w:t>Posology and method of administration</w:t>
      </w:r>
    </w:p>
    <w:p w14:paraId="62B425BB" w14:textId="77777777" w:rsidR="009C79FD" w:rsidRPr="00A84C8B" w:rsidRDefault="006D4BEF" w:rsidP="008C433E">
      <w:pPr>
        <w:spacing w:after="120" w:line="288" w:lineRule="auto"/>
        <w:jc w:val="both"/>
        <w:rPr>
          <w:lang w:val="en-US"/>
        </w:rPr>
      </w:pPr>
      <w:r>
        <w:rPr>
          <w:lang w:val="en"/>
        </w:rPr>
        <w:t>Capsules should be taken orally with plenty of water.</w:t>
      </w:r>
    </w:p>
    <w:p w14:paraId="34185B6A" w14:textId="77777777" w:rsidR="009C79FD" w:rsidRPr="00A84C8B" w:rsidRDefault="006D4BEF" w:rsidP="008C433E">
      <w:pPr>
        <w:spacing w:after="120" w:line="288" w:lineRule="auto"/>
        <w:jc w:val="both"/>
        <w:rPr>
          <w:lang w:val="en-US"/>
        </w:rPr>
      </w:pPr>
      <w:r>
        <w:rPr>
          <w:b/>
          <w:bCs/>
          <w:lang w:val="en"/>
        </w:rPr>
        <w:t>Adults and children over 12 years of age</w:t>
      </w:r>
    </w:p>
    <w:p w14:paraId="2577BB3D" w14:textId="77777777" w:rsidR="009C79FD" w:rsidRPr="00A84C8B" w:rsidRDefault="006D4BEF" w:rsidP="008C433E">
      <w:pPr>
        <w:spacing w:after="120" w:line="288" w:lineRule="auto"/>
        <w:jc w:val="both"/>
        <w:rPr>
          <w:lang w:val="en-US"/>
        </w:rPr>
      </w:pPr>
      <w:r>
        <w:rPr>
          <w:lang w:val="en"/>
        </w:rPr>
        <w:t>Treatment of severe liver diseases should start with a dose of 1 capsule 3 times a day.</w:t>
      </w:r>
    </w:p>
    <w:p w14:paraId="7D56E2CE" w14:textId="77777777" w:rsidR="009C79FD" w:rsidRPr="00A84C8B" w:rsidRDefault="006D4BEF" w:rsidP="008C433E">
      <w:pPr>
        <w:spacing w:after="120" w:line="288" w:lineRule="auto"/>
        <w:jc w:val="both"/>
        <w:rPr>
          <w:lang w:val="en-US"/>
        </w:rPr>
      </w:pPr>
      <w:r>
        <w:rPr>
          <w:lang w:val="en"/>
        </w:rPr>
        <w:t>For milder and moderate cases, the dose is 1 capsule 1-2 times a day.</w:t>
      </w:r>
    </w:p>
    <w:p w14:paraId="0947FC44" w14:textId="77777777" w:rsidR="009C79FD" w:rsidRPr="00A84C8B" w:rsidRDefault="006D4BEF" w:rsidP="008C433E">
      <w:pPr>
        <w:spacing w:after="120" w:line="288" w:lineRule="auto"/>
        <w:jc w:val="both"/>
        <w:rPr>
          <w:lang w:val="en-US"/>
        </w:rPr>
      </w:pPr>
      <w:r>
        <w:rPr>
          <w:lang w:val="en"/>
        </w:rPr>
        <w:t>Prophylaxis of chemical intoxications: 1-2 capsules a day.</w:t>
      </w:r>
    </w:p>
    <w:p w14:paraId="29A560E5" w14:textId="77777777" w:rsidR="009C79FD" w:rsidRPr="00A84C8B" w:rsidRDefault="006D4BEF" w:rsidP="008C433E">
      <w:pPr>
        <w:spacing w:after="120" w:line="288" w:lineRule="auto"/>
        <w:jc w:val="both"/>
        <w:rPr>
          <w:lang w:val="en-US"/>
        </w:rPr>
      </w:pPr>
      <w:r>
        <w:rPr>
          <w:lang w:val="en"/>
        </w:rPr>
        <w:t>The course of treatment should be not less than 3 months.</w:t>
      </w:r>
    </w:p>
    <w:p w14:paraId="488300C4" w14:textId="77777777" w:rsidR="009C79FD" w:rsidRPr="00A84C8B" w:rsidRDefault="006D4BEF" w:rsidP="008C433E">
      <w:pPr>
        <w:spacing w:after="120" w:line="288" w:lineRule="auto"/>
        <w:jc w:val="both"/>
        <w:rPr>
          <w:lang w:val="en-US"/>
        </w:rPr>
      </w:pPr>
      <w:r>
        <w:rPr>
          <w:b/>
          <w:bCs/>
          <w:lang w:val="en"/>
        </w:rPr>
        <w:t>Children under 12 years of age</w:t>
      </w:r>
    </w:p>
    <w:p w14:paraId="64C1354B" w14:textId="77777777" w:rsidR="009C79FD" w:rsidRPr="00A84C8B" w:rsidRDefault="006D4BEF" w:rsidP="008C433E">
      <w:pPr>
        <w:spacing w:after="120" w:line="288" w:lineRule="auto"/>
        <w:jc w:val="both"/>
        <w:rPr>
          <w:lang w:val="en-US"/>
        </w:rPr>
      </w:pPr>
      <w:r>
        <w:rPr>
          <w:lang w:val="en"/>
        </w:rPr>
        <w:t xml:space="preserve">There is insufficient clinical data on the use of </w:t>
      </w:r>
      <w:proofErr w:type="spellStart"/>
      <w:r>
        <w:rPr>
          <w:lang w:val="en"/>
        </w:rPr>
        <w:t>silibinin</w:t>
      </w:r>
      <w:proofErr w:type="spellEnd"/>
      <w:r>
        <w:rPr>
          <w:lang w:val="en"/>
        </w:rPr>
        <w:t xml:space="preserve"> in children.</w:t>
      </w:r>
    </w:p>
    <w:p w14:paraId="336C7124" w14:textId="77777777" w:rsidR="00A84C8B" w:rsidRPr="001245EA" w:rsidRDefault="00A84C8B" w:rsidP="00A84C8B">
      <w:pPr>
        <w:spacing w:after="120" w:line="288" w:lineRule="auto"/>
        <w:ind w:left="142" w:right="171"/>
        <w:jc w:val="both"/>
        <w:rPr>
          <w:lang w:val="en-US"/>
        </w:rPr>
      </w:pPr>
      <w:r w:rsidRPr="00EC5088">
        <w:rPr>
          <w:b/>
          <w:bCs/>
          <w:lang w:val="en"/>
        </w:rPr>
        <w:t>Side effects</w:t>
      </w:r>
    </w:p>
    <w:p w14:paraId="623D51E9" w14:textId="77777777" w:rsidR="00A84C8B" w:rsidRPr="001245EA" w:rsidRDefault="00A84C8B" w:rsidP="00A84C8B">
      <w:pPr>
        <w:spacing w:after="120" w:line="288" w:lineRule="auto"/>
        <w:ind w:left="142" w:right="171"/>
        <w:jc w:val="both"/>
        <w:rPr>
          <w:lang w:val="en-US"/>
        </w:rPr>
      </w:pPr>
      <w:r w:rsidRPr="00EC5088">
        <w:rPr>
          <w:lang w:val="en"/>
        </w:rPr>
        <w:t>The product is well tolerated.</w:t>
      </w:r>
    </w:p>
    <w:p w14:paraId="657C3DB2" w14:textId="77777777" w:rsidR="00A84C8B" w:rsidRPr="001245EA" w:rsidRDefault="00A84C8B" w:rsidP="00A84C8B">
      <w:pPr>
        <w:spacing w:after="120" w:line="288" w:lineRule="auto"/>
        <w:ind w:left="142" w:right="171"/>
        <w:jc w:val="both"/>
        <w:rPr>
          <w:lang w:val="en-US"/>
        </w:rPr>
      </w:pPr>
      <w:r w:rsidRPr="00EC5088">
        <w:rPr>
          <w:lang w:val="en"/>
        </w:rPr>
        <w:t>Adverse reactions are very rare and they are usually mild and transient.</w:t>
      </w:r>
    </w:p>
    <w:p w14:paraId="6A57BEA3" w14:textId="77777777" w:rsidR="00A84C8B" w:rsidRPr="001245EA" w:rsidRDefault="00A84C8B" w:rsidP="00A84C8B">
      <w:pPr>
        <w:spacing w:after="120" w:line="288" w:lineRule="auto"/>
        <w:ind w:left="142" w:right="171"/>
        <w:jc w:val="both"/>
        <w:rPr>
          <w:lang w:val="en-US"/>
        </w:rPr>
      </w:pPr>
      <w:r w:rsidRPr="00EC5088">
        <w:rPr>
          <w:lang w:val="en"/>
        </w:rPr>
        <w:t>Adverse reactions are classified by frequency and by the systemic organ class. According to MedDRA, the frequencies are defined as follows: very common (&gt;1/10), common (&gt;1/100 to &lt;1/10), uncommon (&gt;1/1,000 to &lt;1/100), rare (&gt;1/10,000 to &lt;1/1,000), very rare (&lt;1/10,000), and frequency not known (frequency cannot be estimated from the available data).</w:t>
      </w:r>
    </w:p>
    <w:p w14:paraId="43395F69" w14:textId="77777777" w:rsidR="00A84C8B" w:rsidRPr="001245EA" w:rsidRDefault="00A84C8B" w:rsidP="00A84C8B">
      <w:pPr>
        <w:spacing w:after="120" w:line="288" w:lineRule="auto"/>
        <w:ind w:left="142" w:right="171"/>
        <w:jc w:val="both"/>
        <w:rPr>
          <w:i/>
          <w:iCs/>
          <w:lang w:val="en-US"/>
        </w:rPr>
      </w:pPr>
      <w:r w:rsidRPr="00EC5088">
        <w:rPr>
          <w:i/>
          <w:iCs/>
          <w:lang w:val="en"/>
        </w:rPr>
        <w:t>Immune system disorders.</w:t>
      </w:r>
    </w:p>
    <w:p w14:paraId="0B0E2414" w14:textId="77777777" w:rsidR="00A84C8B" w:rsidRPr="001245EA" w:rsidRDefault="00A84C8B" w:rsidP="00A84C8B">
      <w:pPr>
        <w:spacing w:after="120" w:line="288" w:lineRule="auto"/>
        <w:ind w:left="142" w:right="171"/>
        <w:jc w:val="both"/>
        <w:rPr>
          <w:lang w:val="en-US"/>
        </w:rPr>
      </w:pPr>
      <w:r w:rsidRPr="00EC5088">
        <w:rPr>
          <w:lang w:val="en"/>
        </w:rPr>
        <w:t>Very rare: skin allergic reactions: itching, rash;</w:t>
      </w:r>
    </w:p>
    <w:p w14:paraId="388ABA14" w14:textId="77777777" w:rsidR="00A84C8B" w:rsidRPr="001245EA" w:rsidRDefault="00A84C8B" w:rsidP="00A84C8B">
      <w:pPr>
        <w:spacing w:after="120" w:line="288" w:lineRule="auto"/>
        <w:ind w:left="142" w:right="171"/>
        <w:jc w:val="both"/>
        <w:rPr>
          <w:lang w:val="en-US"/>
        </w:rPr>
      </w:pPr>
      <w:r w:rsidRPr="00EC5088">
        <w:rPr>
          <w:lang w:val="en"/>
        </w:rPr>
        <w:t>Frequency not known: anaphylactic shock.</w:t>
      </w:r>
    </w:p>
    <w:p w14:paraId="3D116E8D" w14:textId="77777777" w:rsidR="00A84C8B" w:rsidRPr="001245EA" w:rsidRDefault="00A84C8B" w:rsidP="00A84C8B">
      <w:pPr>
        <w:spacing w:after="120" w:line="288" w:lineRule="auto"/>
        <w:ind w:left="142" w:right="171"/>
        <w:jc w:val="both"/>
        <w:rPr>
          <w:lang w:val="en-US"/>
        </w:rPr>
      </w:pPr>
      <w:r w:rsidRPr="00EC5088">
        <w:rPr>
          <w:i/>
          <w:iCs/>
          <w:lang w:val="en"/>
        </w:rPr>
        <w:lastRenderedPageBreak/>
        <w:t>Ear and labyrinth disorders:</w:t>
      </w:r>
    </w:p>
    <w:p w14:paraId="60CAF688" w14:textId="77777777" w:rsidR="00A84C8B" w:rsidRPr="001245EA" w:rsidRDefault="00A84C8B" w:rsidP="00A84C8B">
      <w:pPr>
        <w:spacing w:after="120" w:line="288" w:lineRule="auto"/>
        <w:ind w:left="142" w:right="171"/>
        <w:jc w:val="both"/>
        <w:rPr>
          <w:lang w:val="en-US"/>
        </w:rPr>
      </w:pPr>
      <w:r w:rsidRPr="00EC5088">
        <w:rPr>
          <w:lang w:val="en"/>
        </w:rPr>
        <w:t>Rare: exacerbation of vestibular disorders.</w:t>
      </w:r>
    </w:p>
    <w:p w14:paraId="65609B0B" w14:textId="77777777" w:rsidR="00A84C8B" w:rsidRPr="001245EA" w:rsidRDefault="00A84C8B" w:rsidP="00A84C8B">
      <w:pPr>
        <w:spacing w:after="120" w:line="288" w:lineRule="auto"/>
        <w:ind w:left="142" w:right="171"/>
        <w:jc w:val="both"/>
        <w:rPr>
          <w:lang w:val="en-US"/>
        </w:rPr>
      </w:pPr>
      <w:r w:rsidRPr="00EC5088">
        <w:rPr>
          <w:i/>
          <w:iCs/>
          <w:lang w:val="en"/>
        </w:rPr>
        <w:t>Gastrointestinal disorders:</w:t>
      </w:r>
    </w:p>
    <w:p w14:paraId="4628D474" w14:textId="77777777" w:rsidR="00A84C8B" w:rsidRPr="001245EA" w:rsidRDefault="00A84C8B" w:rsidP="00A84C8B">
      <w:pPr>
        <w:spacing w:after="120" w:line="288" w:lineRule="auto"/>
        <w:ind w:left="142" w:right="171"/>
        <w:jc w:val="both"/>
        <w:rPr>
          <w:lang w:val="en-US"/>
        </w:rPr>
      </w:pPr>
      <w:r w:rsidRPr="00EC5088">
        <w:rPr>
          <w:lang w:val="en"/>
        </w:rPr>
        <w:t>Rare: diarrhea resulting from increased liver and gall bladder function.</w:t>
      </w:r>
    </w:p>
    <w:p w14:paraId="276B4FB7" w14:textId="77777777" w:rsidR="00A84C8B" w:rsidRPr="001245EA" w:rsidRDefault="00A84C8B" w:rsidP="00A84C8B">
      <w:pPr>
        <w:spacing w:after="120" w:line="288" w:lineRule="auto"/>
        <w:ind w:left="142" w:right="171"/>
        <w:jc w:val="both"/>
        <w:rPr>
          <w:lang w:val="en-US"/>
        </w:rPr>
      </w:pPr>
      <w:r w:rsidRPr="00EC5088">
        <w:rPr>
          <w:lang w:val="en"/>
        </w:rPr>
        <w:t>Frequency not known: nausea, vomiting, dyspepsia, decreased appetite, flatulence.</w:t>
      </w:r>
    </w:p>
    <w:p w14:paraId="5ADDF6B2" w14:textId="77777777" w:rsidR="00A84C8B" w:rsidRPr="001245EA" w:rsidRDefault="00A84C8B" w:rsidP="00A84C8B">
      <w:pPr>
        <w:spacing w:after="120" w:line="288" w:lineRule="auto"/>
        <w:ind w:left="142" w:right="171"/>
        <w:jc w:val="both"/>
        <w:rPr>
          <w:lang w:val="en-US"/>
        </w:rPr>
      </w:pPr>
      <w:r w:rsidRPr="00EC5088">
        <w:rPr>
          <w:b/>
          <w:bCs/>
          <w:lang w:val="en"/>
        </w:rPr>
        <w:t>Interaction with other medicinal products</w:t>
      </w:r>
    </w:p>
    <w:p w14:paraId="104DF4FE" w14:textId="77777777" w:rsidR="00A84C8B" w:rsidRPr="001245EA" w:rsidRDefault="00A84C8B" w:rsidP="00A84C8B">
      <w:pPr>
        <w:spacing w:after="120" w:line="288" w:lineRule="auto"/>
        <w:ind w:left="142" w:right="171"/>
        <w:jc w:val="both"/>
        <w:rPr>
          <w:lang w:val="en-US"/>
        </w:rPr>
      </w:pPr>
      <w:r w:rsidRPr="00EC5088">
        <w:rPr>
          <w:i/>
          <w:iCs/>
          <w:lang w:val="en"/>
        </w:rPr>
        <w:t>Pharmacodynamic drug interactions</w:t>
      </w:r>
    </w:p>
    <w:p w14:paraId="19BC5E16" w14:textId="77777777" w:rsidR="00A84C8B" w:rsidRPr="001245EA" w:rsidRDefault="00A84C8B" w:rsidP="00A84C8B">
      <w:pPr>
        <w:spacing w:after="120" w:line="288" w:lineRule="auto"/>
        <w:ind w:left="142" w:right="171"/>
        <w:jc w:val="both"/>
        <w:rPr>
          <w:lang w:val="en-US"/>
        </w:rPr>
      </w:pPr>
      <w:r w:rsidRPr="00EC5088">
        <w:rPr>
          <w:lang w:val="en"/>
        </w:rPr>
        <w:t xml:space="preserve">Silymarin does not significantly affect the pharmacodynamics of other medicinal products. </w:t>
      </w:r>
      <w:r w:rsidRPr="00E60029">
        <w:rPr>
          <w:highlight w:val="yellow"/>
          <w:lang w:val="en"/>
        </w:rPr>
        <w:t>Concomitant use of silymarin with oral contraceptives and medicinal products that are used in hormone replacement therapy can reduce the effects of the latter.</w:t>
      </w:r>
    </w:p>
    <w:p w14:paraId="6A72331A" w14:textId="77777777" w:rsidR="00A84C8B" w:rsidRPr="001245EA" w:rsidRDefault="00A84C8B" w:rsidP="00A84C8B">
      <w:pPr>
        <w:spacing w:after="120" w:line="288" w:lineRule="auto"/>
        <w:ind w:left="142" w:right="171"/>
        <w:jc w:val="both"/>
        <w:rPr>
          <w:lang w:val="en-US"/>
        </w:rPr>
      </w:pPr>
      <w:r w:rsidRPr="00EC5088">
        <w:rPr>
          <w:i/>
          <w:iCs/>
          <w:lang w:val="en"/>
        </w:rPr>
        <w:t>Pharmacokinetic drug interactions</w:t>
      </w:r>
    </w:p>
    <w:p w14:paraId="3A1F66BB" w14:textId="77777777" w:rsidR="00A84C8B" w:rsidRPr="001245EA" w:rsidRDefault="00A84C8B" w:rsidP="00A84C8B">
      <w:pPr>
        <w:spacing w:after="120" w:line="288" w:lineRule="auto"/>
        <w:ind w:left="142" w:right="171"/>
        <w:jc w:val="both"/>
        <w:rPr>
          <w:lang w:val="en-US"/>
        </w:rPr>
      </w:pPr>
      <w:r w:rsidRPr="008852A0">
        <w:rPr>
          <w:highlight w:val="yellow"/>
          <w:lang w:val="en"/>
        </w:rPr>
        <w:t xml:space="preserve">As silymarin has an inhibitory effect on the cytochrome P450 system, it can increase plasma concentrations of such medicinal products as diazepam, alprazolam, ketoconazole, </w:t>
      </w:r>
      <w:proofErr w:type="spellStart"/>
      <w:r w:rsidRPr="008852A0">
        <w:rPr>
          <w:highlight w:val="yellow"/>
          <w:lang w:val="en"/>
        </w:rPr>
        <w:t>lovastin</w:t>
      </w:r>
      <w:proofErr w:type="spellEnd"/>
      <w:r w:rsidRPr="008852A0">
        <w:rPr>
          <w:highlight w:val="yellow"/>
          <w:lang w:val="en"/>
        </w:rPr>
        <w:t>, and vinblastine.</w:t>
      </w:r>
    </w:p>
    <w:p w14:paraId="0731FEF9" w14:textId="77777777" w:rsidR="009C79FD" w:rsidRPr="00A84C8B" w:rsidRDefault="006D4BEF" w:rsidP="008C433E">
      <w:pPr>
        <w:spacing w:after="120" w:line="288" w:lineRule="auto"/>
        <w:jc w:val="both"/>
        <w:rPr>
          <w:lang w:val="en-US"/>
        </w:rPr>
      </w:pPr>
      <w:r>
        <w:rPr>
          <w:b/>
          <w:bCs/>
          <w:lang w:val="en"/>
        </w:rPr>
        <w:t>Special warnings</w:t>
      </w:r>
    </w:p>
    <w:p w14:paraId="240F5CF7" w14:textId="77777777" w:rsidR="009C79FD" w:rsidRPr="00A84C8B" w:rsidRDefault="006D4BEF" w:rsidP="008C433E">
      <w:pPr>
        <w:spacing w:after="120" w:line="288" w:lineRule="auto"/>
        <w:jc w:val="both"/>
        <w:rPr>
          <w:lang w:val="en-US"/>
        </w:rPr>
      </w:pPr>
      <w:r>
        <w:rPr>
          <w:lang w:val="en"/>
        </w:rPr>
        <w:t>Effect on ability to drive and use machines: the use of the product in monotherapy does not affect the ability to drive and use machines.</w:t>
      </w:r>
    </w:p>
    <w:p w14:paraId="7C6E46A5" w14:textId="77777777" w:rsidR="009C79FD" w:rsidRPr="00A84C8B" w:rsidRDefault="006D4BEF" w:rsidP="008C433E">
      <w:pPr>
        <w:spacing w:after="120" w:line="288" w:lineRule="auto"/>
        <w:jc w:val="both"/>
        <w:rPr>
          <w:lang w:val="en-US"/>
        </w:rPr>
      </w:pPr>
      <w:r>
        <w:rPr>
          <w:b/>
          <w:bCs/>
          <w:lang w:val="en"/>
        </w:rPr>
        <w:t>Presentation</w:t>
      </w:r>
    </w:p>
    <w:p w14:paraId="2D991CC2" w14:textId="77777777" w:rsidR="009C79FD" w:rsidRPr="00A84C8B" w:rsidRDefault="006D4BEF" w:rsidP="008C433E">
      <w:pPr>
        <w:spacing w:after="120" w:line="288" w:lineRule="auto"/>
        <w:jc w:val="both"/>
        <w:rPr>
          <w:lang w:val="en-US"/>
        </w:rPr>
      </w:pPr>
      <w:r>
        <w:rPr>
          <w:lang w:val="en"/>
        </w:rPr>
        <w:t>Capsules 90 mg.</w:t>
      </w:r>
    </w:p>
    <w:p w14:paraId="65F0F8D8" w14:textId="77777777" w:rsidR="009C79FD" w:rsidRPr="00A84C8B" w:rsidRDefault="006D4BEF" w:rsidP="008C433E">
      <w:pPr>
        <w:spacing w:after="120" w:line="288" w:lineRule="auto"/>
        <w:jc w:val="both"/>
        <w:rPr>
          <w:lang w:val="en-US"/>
        </w:rPr>
      </w:pPr>
      <w:r>
        <w:rPr>
          <w:lang w:val="en"/>
        </w:rPr>
        <w:t>6 capsules in a PVC film and aluminum foil blister.</w:t>
      </w:r>
    </w:p>
    <w:p w14:paraId="6887636A" w14:textId="77777777" w:rsidR="009C79FD" w:rsidRPr="00A84C8B" w:rsidRDefault="006D4BEF" w:rsidP="008C433E">
      <w:pPr>
        <w:spacing w:after="120" w:line="288" w:lineRule="auto"/>
        <w:jc w:val="both"/>
        <w:rPr>
          <w:lang w:val="en-US"/>
        </w:rPr>
      </w:pPr>
      <w:r>
        <w:rPr>
          <w:lang w:val="en"/>
        </w:rPr>
        <w:t>5 blisters along with the package insert in a cardboard pack.</w:t>
      </w:r>
    </w:p>
    <w:p w14:paraId="2CFDB765" w14:textId="77777777" w:rsidR="009C79FD" w:rsidRPr="00A84C8B" w:rsidRDefault="006D4BEF" w:rsidP="008C433E">
      <w:pPr>
        <w:spacing w:after="120" w:line="288" w:lineRule="auto"/>
        <w:jc w:val="both"/>
        <w:rPr>
          <w:lang w:val="en-US"/>
        </w:rPr>
      </w:pPr>
      <w:r>
        <w:rPr>
          <w:b/>
          <w:bCs/>
          <w:lang w:val="en"/>
        </w:rPr>
        <w:t>Shelf life</w:t>
      </w:r>
    </w:p>
    <w:p w14:paraId="1674B598" w14:textId="77777777" w:rsidR="00A84C8B" w:rsidRDefault="00A84C8B" w:rsidP="008C433E">
      <w:pPr>
        <w:spacing w:after="120" w:line="288" w:lineRule="auto"/>
        <w:jc w:val="both"/>
        <w:rPr>
          <w:lang w:val="en"/>
        </w:rPr>
      </w:pPr>
      <w:r w:rsidRPr="00EC5088">
        <w:rPr>
          <w:lang w:val="en"/>
        </w:rPr>
        <w:t>3 years. Do not use after the expiry date printed on the pack.</w:t>
      </w:r>
    </w:p>
    <w:p w14:paraId="45B068D9" w14:textId="0D2D1B15" w:rsidR="009C79FD" w:rsidRPr="00A84C8B" w:rsidRDefault="006D4BEF" w:rsidP="008C433E">
      <w:pPr>
        <w:spacing w:after="120" w:line="288" w:lineRule="auto"/>
        <w:jc w:val="both"/>
        <w:rPr>
          <w:lang w:val="en-US"/>
        </w:rPr>
      </w:pPr>
      <w:r>
        <w:rPr>
          <w:b/>
          <w:bCs/>
          <w:lang w:val="en"/>
        </w:rPr>
        <w:t>Storage conditions</w:t>
      </w:r>
    </w:p>
    <w:p w14:paraId="1BB32F4A" w14:textId="77777777" w:rsidR="009C79FD" w:rsidRPr="00A84C8B" w:rsidRDefault="006D4BEF" w:rsidP="008C433E">
      <w:pPr>
        <w:spacing w:after="120" w:line="288" w:lineRule="auto"/>
        <w:jc w:val="both"/>
        <w:rPr>
          <w:lang w:val="en-US"/>
        </w:rPr>
      </w:pPr>
      <w:r>
        <w:rPr>
          <w:lang w:val="en"/>
        </w:rPr>
        <w:t>Store at &lt;25 °С in a dry place protected from light.</w:t>
      </w:r>
    </w:p>
    <w:p w14:paraId="4429F749" w14:textId="77777777" w:rsidR="009C79FD" w:rsidRPr="00A84C8B" w:rsidRDefault="006D4BEF" w:rsidP="008C433E">
      <w:pPr>
        <w:spacing w:after="120" w:line="288" w:lineRule="auto"/>
        <w:jc w:val="both"/>
        <w:rPr>
          <w:lang w:val="en-US"/>
        </w:rPr>
      </w:pPr>
      <w:r>
        <w:rPr>
          <w:u w:val="single"/>
          <w:lang w:val="en"/>
        </w:rPr>
        <w:t>Keep out of reach of children.</w:t>
      </w:r>
    </w:p>
    <w:p w14:paraId="1900775A" w14:textId="77777777" w:rsidR="006D4BEF" w:rsidRPr="00A84C8B" w:rsidRDefault="006D4BEF" w:rsidP="008C433E">
      <w:pPr>
        <w:spacing w:after="120" w:line="288" w:lineRule="auto"/>
        <w:jc w:val="both"/>
        <w:rPr>
          <w:b/>
          <w:bCs/>
          <w:lang w:val="en-US"/>
        </w:rPr>
      </w:pPr>
      <w:r>
        <w:rPr>
          <w:b/>
          <w:bCs/>
          <w:lang w:val="en"/>
        </w:rPr>
        <w:t xml:space="preserve">Marketing status </w:t>
      </w:r>
    </w:p>
    <w:p w14:paraId="42C59934" w14:textId="77777777" w:rsidR="00A84C8B" w:rsidRPr="00046643" w:rsidRDefault="00A84C8B" w:rsidP="00A84C8B">
      <w:pPr>
        <w:spacing w:after="120" w:line="288" w:lineRule="auto"/>
        <w:ind w:right="114"/>
      </w:pPr>
      <w:r>
        <w:rPr>
          <w:lang w:val="en"/>
        </w:rPr>
        <w:t>Over-the-counter medication</w:t>
      </w:r>
    </w:p>
    <w:p w14:paraId="17E6D48F" w14:textId="77777777" w:rsidR="009C79FD" w:rsidRPr="00A84C8B" w:rsidRDefault="006D4BEF" w:rsidP="008C433E">
      <w:pPr>
        <w:spacing w:after="120" w:line="288" w:lineRule="auto"/>
        <w:jc w:val="both"/>
        <w:rPr>
          <w:lang w:val="en-US"/>
        </w:rPr>
      </w:pPr>
      <w:r>
        <w:rPr>
          <w:b/>
          <w:bCs/>
          <w:lang w:val="en"/>
        </w:rPr>
        <w:t>Manufacturer</w:t>
      </w:r>
    </w:p>
    <w:p w14:paraId="0D75207C" w14:textId="77777777" w:rsidR="006D4BEF" w:rsidRPr="00A84C8B" w:rsidRDefault="006D4BEF" w:rsidP="008C433E">
      <w:pPr>
        <w:spacing w:after="120" w:line="288" w:lineRule="auto"/>
        <w:jc w:val="both"/>
        <w:rPr>
          <w:lang w:val="en-US"/>
        </w:rPr>
      </w:pPr>
      <w:r>
        <w:rPr>
          <w:lang w:val="en"/>
        </w:rPr>
        <w:t xml:space="preserve">SOPHARMA JSC, Bulgaria, 1220 Sofia, </w:t>
      </w:r>
      <w:proofErr w:type="spellStart"/>
      <w:r>
        <w:rPr>
          <w:lang w:val="en"/>
        </w:rPr>
        <w:t>Iliensko</w:t>
      </w:r>
      <w:proofErr w:type="spellEnd"/>
      <w:r>
        <w:rPr>
          <w:lang w:val="en"/>
        </w:rPr>
        <w:t xml:space="preserve"> chausse 16 </w:t>
      </w:r>
    </w:p>
    <w:p w14:paraId="616BE0CE" w14:textId="77777777" w:rsidR="009C79FD" w:rsidRPr="00A84C8B" w:rsidRDefault="006D4BEF" w:rsidP="008C433E">
      <w:pPr>
        <w:spacing w:after="120" w:line="288" w:lineRule="auto"/>
        <w:jc w:val="both"/>
        <w:rPr>
          <w:lang w:val="en-US"/>
        </w:rPr>
      </w:pPr>
      <w:r>
        <w:rPr>
          <w:lang w:val="en"/>
        </w:rPr>
        <w:t>Phone: (+3592) 813 42 00; fax: (+3592) 936 02 86</w:t>
      </w:r>
    </w:p>
    <w:p w14:paraId="2943A1F5" w14:textId="77777777" w:rsidR="00A84C8B" w:rsidRPr="00A84C8B" w:rsidRDefault="00A84C8B" w:rsidP="00A84C8B">
      <w:pPr>
        <w:spacing w:after="120" w:line="288" w:lineRule="auto"/>
        <w:ind w:right="114"/>
        <w:rPr>
          <w:lang w:val="en-US"/>
        </w:rPr>
      </w:pPr>
      <w:r>
        <w:rPr>
          <w:b/>
          <w:bCs/>
          <w:lang w:val="en"/>
        </w:rPr>
        <w:t>Consumer claims and information on adverse events should be directed to:</w:t>
      </w:r>
    </w:p>
    <w:p w14:paraId="22A901C8" w14:textId="77777777" w:rsidR="00A84C8B" w:rsidRPr="00A84C8B" w:rsidRDefault="00A84C8B" w:rsidP="00A84C8B">
      <w:pPr>
        <w:spacing w:after="120" w:line="288" w:lineRule="auto"/>
        <w:ind w:right="114"/>
        <w:rPr>
          <w:lang w:val="en-US"/>
        </w:rPr>
      </w:pPr>
      <w:r>
        <w:rPr>
          <w:lang w:val="en"/>
        </w:rPr>
        <w:t>SOPHARMA JSC Representative office</w:t>
      </w:r>
    </w:p>
    <w:p w14:paraId="39DE7159" w14:textId="48B61DF6" w:rsidR="009C79FD" w:rsidRDefault="00A84C8B" w:rsidP="00A84C8B">
      <w:pPr>
        <w:spacing w:after="120" w:line="288" w:lineRule="auto"/>
        <w:jc w:val="both"/>
        <w:rPr>
          <w:lang w:val="en"/>
        </w:rPr>
      </w:pPr>
      <w:r>
        <w:rPr>
          <w:lang w:val="en"/>
        </w:rPr>
        <w:lastRenderedPageBreak/>
        <w:t xml:space="preserve">109147, Moscow, </w:t>
      </w:r>
      <w:proofErr w:type="spellStart"/>
      <w:r>
        <w:rPr>
          <w:lang w:val="en"/>
        </w:rPr>
        <w:t>ul</w:t>
      </w:r>
      <w:proofErr w:type="spellEnd"/>
      <w:r>
        <w:rPr>
          <w:lang w:val="en"/>
        </w:rPr>
        <w:t xml:space="preserve">. </w:t>
      </w:r>
      <w:proofErr w:type="spellStart"/>
      <w:r>
        <w:rPr>
          <w:lang w:val="en"/>
        </w:rPr>
        <w:t>Taganskaya</w:t>
      </w:r>
      <w:proofErr w:type="spellEnd"/>
      <w:r>
        <w:rPr>
          <w:lang w:val="en"/>
        </w:rPr>
        <w:t xml:space="preserve"> 17-23, floor 10, phone/fax: (495) 799 55 11</w:t>
      </w:r>
    </w:p>
    <w:sectPr w:rsidR="009C79FD" w:rsidSect="009A1937">
      <w:headerReference w:type="even" r:id="rId10"/>
      <w:headerReference w:type="default" r:id="rId11"/>
      <w:footerReference w:type="default" r:id="rId12"/>
      <w:headerReference w:type="first" r:id="rId13"/>
      <w:type w:val="continuous"/>
      <w:pgSz w:w="11909" w:h="16834"/>
      <w:pgMar w:top="1134" w:right="851" w:bottom="1134" w:left="1701"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E53F" w14:textId="77777777" w:rsidR="007E6625" w:rsidRDefault="007E6625">
      <w:r>
        <w:separator/>
      </w:r>
    </w:p>
  </w:endnote>
  <w:endnote w:type="continuationSeparator" w:id="0">
    <w:p w14:paraId="10B055E6" w14:textId="77777777" w:rsidR="007E6625" w:rsidRDefault="007E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ECDB1" w14:textId="77777777" w:rsidR="006D4BEF" w:rsidRDefault="006D4BEF" w:rsidP="006D4BEF">
    <w:pPr>
      <w:pStyle w:val="Footer"/>
      <w:jc w:val="right"/>
    </w:pPr>
    <w:r>
      <w:rPr>
        <w:lang w:val="en"/>
      </w:rPr>
      <w:fldChar w:fldCharType="begin"/>
    </w:r>
    <w:r>
      <w:rPr>
        <w:lang w:val="en"/>
      </w:rPr>
      <w:instrText>PAGE   \* MERGEFORMAT</w:instrText>
    </w:r>
    <w:r>
      <w:rPr>
        <w:lang w:val="en"/>
      </w:rPr>
      <w:fldChar w:fldCharType="separate"/>
    </w:r>
    <w:r w:rsidR="00E60029">
      <w:rPr>
        <w:noProof/>
        <w:lang w:val="en"/>
      </w:rPr>
      <w:t>4</w:t>
    </w:r>
    <w:r>
      <w:rPr>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5100" w14:textId="77777777" w:rsidR="007E6625" w:rsidRDefault="007E6625"/>
  </w:footnote>
  <w:footnote w:type="continuationSeparator" w:id="0">
    <w:p w14:paraId="3CF71984" w14:textId="77777777" w:rsidR="007E6625" w:rsidRDefault="007E6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21F8" w14:textId="6D133CF7" w:rsidR="000E4B80" w:rsidRDefault="000E4B80">
    <w:pPr>
      <w:pStyle w:val="Header"/>
    </w:pPr>
    <w:r>
      <w:rPr>
        <w:noProof/>
      </w:rPr>
      <mc:AlternateContent>
        <mc:Choice Requires="wps">
          <w:drawing>
            <wp:anchor distT="0" distB="0" distL="0" distR="0" simplePos="0" relativeHeight="251659264" behindDoc="0" locked="0" layoutInCell="1" allowOverlap="1" wp14:anchorId="1616CFF0" wp14:editId="06223D58">
              <wp:simplePos x="635" y="635"/>
              <wp:positionH relativeFrom="page">
                <wp:align>center</wp:align>
              </wp:positionH>
              <wp:positionV relativeFrom="page">
                <wp:align>top</wp:align>
              </wp:positionV>
              <wp:extent cx="443865" cy="443865"/>
              <wp:effectExtent l="0" t="0" r="13335" b="16510"/>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556D29" w14:textId="37498A06"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16CFF0"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B556D29" w14:textId="37498A06"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0B8C7" w14:textId="654D8CA7" w:rsidR="009A1937" w:rsidRPr="009A1937" w:rsidRDefault="000E4B80" w:rsidP="009A1937">
    <w:pPr>
      <w:jc w:val="right"/>
      <w:rPr>
        <w:sz w:val="20"/>
        <w:szCs w:val="20"/>
      </w:rPr>
    </w:pPr>
    <w:r>
      <w:rPr>
        <w:noProof/>
        <w:sz w:val="20"/>
        <w:szCs w:val="20"/>
        <w:lang w:val="en"/>
      </w:rPr>
      <mc:AlternateContent>
        <mc:Choice Requires="wps">
          <w:drawing>
            <wp:anchor distT="0" distB="0" distL="0" distR="0" simplePos="0" relativeHeight="251660288" behindDoc="0" locked="0" layoutInCell="1" allowOverlap="1" wp14:anchorId="6B19E078" wp14:editId="445490A5">
              <wp:simplePos x="1076325" y="447675"/>
              <wp:positionH relativeFrom="page">
                <wp:align>center</wp:align>
              </wp:positionH>
              <wp:positionV relativeFrom="page">
                <wp:align>top</wp:align>
              </wp:positionV>
              <wp:extent cx="443865" cy="443865"/>
              <wp:effectExtent l="0" t="0" r="13335" b="16510"/>
              <wp:wrapNone/>
              <wp:docPr id="3"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359B36" w14:textId="369027BB"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19E078"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F359B36" w14:textId="369027BB"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v:textbox>
              <w10:wrap anchorx="page" anchory="page"/>
            </v:shape>
          </w:pict>
        </mc:Fallback>
      </mc:AlternateContent>
    </w:r>
    <w:r w:rsidR="009A1937">
      <w:rPr>
        <w:sz w:val="20"/>
        <w:szCs w:val="20"/>
        <w:lang w:val="en"/>
      </w:rPr>
      <w:t>ЛП 000128-110111</w:t>
    </w:r>
  </w:p>
  <w:p w14:paraId="590D89AD" w14:textId="77777777" w:rsidR="009A1937" w:rsidRDefault="009A1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A16F" w14:textId="7EAD4E3A" w:rsidR="000E4B80" w:rsidRDefault="000E4B80">
    <w:pPr>
      <w:pStyle w:val="Header"/>
    </w:pPr>
    <w:r>
      <w:rPr>
        <w:noProof/>
      </w:rPr>
      <mc:AlternateContent>
        <mc:Choice Requires="wps">
          <w:drawing>
            <wp:anchor distT="0" distB="0" distL="0" distR="0" simplePos="0" relativeHeight="251658240" behindDoc="0" locked="0" layoutInCell="1" allowOverlap="1" wp14:anchorId="599F1090" wp14:editId="15AE01EF">
              <wp:simplePos x="635" y="635"/>
              <wp:positionH relativeFrom="page">
                <wp:align>center</wp:align>
              </wp:positionH>
              <wp:positionV relativeFrom="page">
                <wp:align>top</wp:align>
              </wp:positionV>
              <wp:extent cx="443865" cy="443865"/>
              <wp:effectExtent l="0" t="0" r="13335" b="16510"/>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E65301" w14:textId="1C0B0ACF"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9F1090" id="_x0000_t202" coordsize="21600,21600" o:spt="202" path="m,l,21600r21600,l21600,xe">
              <v:stroke joinstyle="miter"/>
              <v:path gradientshapeok="t" o:connecttype="rect"/>
            </v:shapetype>
            <v:shape id="Text Box 1"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1E65301" w14:textId="1C0B0ACF" w:rsidR="000E4B80" w:rsidRPr="000E4B80" w:rsidRDefault="000E4B80" w:rsidP="000E4B80">
                    <w:pPr>
                      <w:rPr>
                        <w:rFonts w:ascii="Calibri" w:eastAsia="Calibri" w:hAnsi="Calibri" w:cs="Calibri"/>
                        <w:noProof/>
                        <w:color w:val="4A569E"/>
                        <w:sz w:val="20"/>
                        <w:szCs w:val="20"/>
                      </w:rPr>
                    </w:pPr>
                    <w:r w:rsidRPr="000E4B80">
                      <w:rPr>
                        <w:rFonts w:ascii="Calibri" w:eastAsia="Calibri" w:hAnsi="Calibri" w:cs="Calibri"/>
                        <w:noProof/>
                        <w:color w:val="4A569E"/>
                        <w:sz w:val="20"/>
                        <w:szCs w:val="2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41CC"/>
    <w:multiLevelType w:val="hybridMultilevel"/>
    <w:tmpl w:val="C268B710"/>
    <w:lvl w:ilvl="0" w:tplc="819CA8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263775"/>
    <w:multiLevelType w:val="hybridMultilevel"/>
    <w:tmpl w:val="7F9ACA2C"/>
    <w:lvl w:ilvl="0" w:tplc="89AE3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74B7EC4"/>
    <w:multiLevelType w:val="hybridMultilevel"/>
    <w:tmpl w:val="03ECD38C"/>
    <w:lvl w:ilvl="0" w:tplc="89AE3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6542F9"/>
    <w:multiLevelType w:val="hybridMultilevel"/>
    <w:tmpl w:val="2E1A1316"/>
    <w:lvl w:ilvl="0" w:tplc="819CA8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614F3C"/>
    <w:multiLevelType w:val="hybridMultilevel"/>
    <w:tmpl w:val="0D7C9A60"/>
    <w:lvl w:ilvl="0" w:tplc="89AE3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9D661A9"/>
    <w:multiLevelType w:val="hybridMultilevel"/>
    <w:tmpl w:val="A7C0F526"/>
    <w:lvl w:ilvl="0" w:tplc="819CA8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65104941">
    <w:abstractNumId w:val="2"/>
  </w:num>
  <w:num w:numId="2" w16cid:durableId="830757773">
    <w:abstractNumId w:val="1"/>
  </w:num>
  <w:num w:numId="3" w16cid:durableId="1162425270">
    <w:abstractNumId w:val="4"/>
  </w:num>
  <w:num w:numId="4" w16cid:durableId="2118868317">
    <w:abstractNumId w:val="0"/>
  </w:num>
  <w:num w:numId="5" w16cid:durableId="1059786226">
    <w:abstractNumId w:val="5"/>
  </w:num>
  <w:num w:numId="6" w16cid:durableId="14557832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9FD"/>
    <w:rsid w:val="000E4B80"/>
    <w:rsid w:val="006D4BEF"/>
    <w:rsid w:val="007E6625"/>
    <w:rsid w:val="008852A0"/>
    <w:rsid w:val="008C433E"/>
    <w:rsid w:val="009A1937"/>
    <w:rsid w:val="009C79FD"/>
    <w:rsid w:val="00A84C8B"/>
    <w:rsid w:val="00B61B46"/>
    <w:rsid w:val="00CB5D33"/>
    <w:rsid w:val="00E60029"/>
    <w:rsid w:val="00FE6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DD77F"/>
  <w15:docId w15:val="{581FF890-C5F8-43A2-9CFD-571BE51F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937"/>
    <w:pPr>
      <w:tabs>
        <w:tab w:val="center" w:pos="4677"/>
        <w:tab w:val="right" w:pos="9355"/>
      </w:tabs>
    </w:pPr>
  </w:style>
  <w:style w:type="character" w:customStyle="1" w:styleId="HeaderChar">
    <w:name w:val="Header Char"/>
    <w:basedOn w:val="DefaultParagraphFont"/>
    <w:link w:val="Header"/>
    <w:uiPriority w:val="99"/>
    <w:rsid w:val="009A1937"/>
    <w:rPr>
      <w:color w:val="000000"/>
    </w:rPr>
  </w:style>
  <w:style w:type="paragraph" w:styleId="Footer">
    <w:name w:val="footer"/>
    <w:basedOn w:val="Normal"/>
    <w:link w:val="FooterChar"/>
    <w:uiPriority w:val="99"/>
    <w:unhideWhenUsed/>
    <w:rsid w:val="009A1937"/>
    <w:pPr>
      <w:tabs>
        <w:tab w:val="center" w:pos="4677"/>
        <w:tab w:val="right" w:pos="9355"/>
      </w:tabs>
    </w:pPr>
  </w:style>
  <w:style w:type="character" w:customStyle="1" w:styleId="FooterChar">
    <w:name w:val="Footer Char"/>
    <w:basedOn w:val="DefaultParagraphFont"/>
    <w:link w:val="Footer"/>
    <w:uiPriority w:val="99"/>
    <w:rsid w:val="009A1937"/>
    <w:rPr>
      <w:color w:val="000000"/>
    </w:rPr>
  </w:style>
  <w:style w:type="paragraph" w:styleId="ListParagraph">
    <w:name w:val="List Paragraph"/>
    <w:basedOn w:val="Normal"/>
    <w:uiPriority w:val="34"/>
    <w:qFormat/>
    <w:rsid w:val="009A1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1BDCEEAFF7145A726733A96431DF3" ma:contentTypeVersion="16" ma:contentTypeDescription="Create a new document." ma:contentTypeScope="" ma:versionID="3c3878356ad1c65f04b2e74c0733d674">
  <xsd:schema xmlns:xsd="http://www.w3.org/2001/XMLSchema" xmlns:xs="http://www.w3.org/2001/XMLSchema" xmlns:p="http://schemas.microsoft.com/office/2006/metadata/properties" xmlns:ns2="972d9921-fd6b-4fd9-b060-4fea0b8b6191" xmlns:ns3="f7e6d6b6-e371-4544-a272-7c9db9583830" targetNamespace="http://schemas.microsoft.com/office/2006/metadata/properties" ma:root="true" ma:fieldsID="2f42b745c97210aeee00f50ceb60d93c" ns2:_="" ns3:_="">
    <xsd:import namespace="972d9921-fd6b-4fd9-b060-4fea0b8b6191"/>
    <xsd:import namespace="f7e6d6b6-e371-4544-a272-7c9db9583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2d9921-fd6b-4fd9-b060-4fea0b8b6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fb0b088-da3c-47ed-872c-fc1360427ae0"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6d6b6-e371-4544-a272-7c9db958383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0c0776-9da0-497a-9fec-2316ca7dcee7}" ma:internalName="TaxCatchAll" ma:showField="CatchAllData" ma:web="f7e6d6b6-e371-4544-a272-7c9db958383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2d9921-fd6b-4fd9-b060-4fea0b8b6191">
      <Terms xmlns="http://schemas.microsoft.com/office/infopath/2007/PartnerControls"/>
    </lcf76f155ced4ddcb4097134ff3c332f>
    <TaxCatchAll xmlns="f7e6d6b6-e371-4544-a272-7c9db95838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FE647-6C5D-43C4-AC16-1BC719E1A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2d9921-fd6b-4fd9-b060-4fea0b8b6191"/>
    <ds:schemaRef ds:uri="f7e6d6b6-e371-4544-a272-7c9db9583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BE51D-30FC-4B37-8F21-CC83BF4E9E28}">
  <ds:schemaRefs>
    <ds:schemaRef ds:uri="http://schemas.microsoft.com/office/2006/metadata/properties"/>
    <ds:schemaRef ds:uri="http://schemas.microsoft.com/office/infopath/2007/PartnerControls"/>
    <ds:schemaRef ds:uri="972d9921-fd6b-4fd9-b060-4fea0b8b6191"/>
    <ds:schemaRef ds:uri="f7e6d6b6-e371-4544-a272-7c9db9583830"/>
  </ds:schemaRefs>
</ds:datastoreItem>
</file>

<file path=customXml/itemProps3.xml><?xml version="1.0" encoding="utf-8"?>
<ds:datastoreItem xmlns:ds="http://schemas.openxmlformats.org/officeDocument/2006/customXml" ds:itemID="{3EAA26A2-CA2E-4470-8E71-A8D79B2C2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7249</Characters>
  <Application>Microsoft Office Word</Application>
  <DocSecurity>0</DocSecurity>
  <Lines>60</Lines>
  <Paragraphs>17</Paragraphs>
  <ScaleCrop>false</ScaleCrop>
  <HeadingPairs>
    <vt:vector size="4" baseType="variant">
      <vt:variant>
        <vt:lpstr>Titre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Sotos, Francesc /DE</cp:lastModifiedBy>
  <cp:revision>3</cp:revision>
  <dcterms:created xsi:type="dcterms:W3CDTF">2023-11-30T11:43:00Z</dcterms:created>
  <dcterms:modified xsi:type="dcterms:W3CDTF">2023-12-07T16:21:00Z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#4a569e,10,Calibri</vt:lpwstr>
  </property>
  <property fmtid="{D5CDD505-2E9C-101B-9397-08002B2CF9AE}" pid="4" name="ClassificationContentMarkingHeaderText">
    <vt:lpwstr>Internal</vt:lpwstr>
  </property>
  <property fmtid="{D5CDD505-2E9C-101B-9397-08002B2CF9AE}" pid="5" name="MSIP_Label_9e3dcb88-8425-4e1d-b1a3-bd5572915bbc_Enabled">
    <vt:lpwstr>true</vt:lpwstr>
  </property>
  <property fmtid="{D5CDD505-2E9C-101B-9397-08002B2CF9AE}" pid="6" name="MSIP_Label_9e3dcb88-8425-4e1d-b1a3-bd5572915bbc_SetDate">
    <vt:lpwstr>2023-11-30T11:42:09Z</vt:lpwstr>
  </property>
  <property fmtid="{D5CDD505-2E9C-101B-9397-08002B2CF9AE}" pid="7" name="MSIP_Label_9e3dcb88-8425-4e1d-b1a3-bd5572915bbc_Method">
    <vt:lpwstr>Privileged</vt:lpwstr>
  </property>
  <property fmtid="{D5CDD505-2E9C-101B-9397-08002B2CF9AE}" pid="8" name="MSIP_Label_9e3dcb88-8425-4e1d-b1a3-bd5572915bbc_Name">
    <vt:lpwstr>Internal</vt:lpwstr>
  </property>
  <property fmtid="{D5CDD505-2E9C-101B-9397-08002B2CF9AE}" pid="9" name="MSIP_Label_9e3dcb88-8425-4e1d-b1a3-bd5572915bbc_SiteId">
    <vt:lpwstr>aca3c8d6-aa71-4e1a-a10e-03572fc58c0b</vt:lpwstr>
  </property>
  <property fmtid="{D5CDD505-2E9C-101B-9397-08002B2CF9AE}" pid="10" name="MSIP_Label_9e3dcb88-8425-4e1d-b1a3-bd5572915bbc_ActionId">
    <vt:lpwstr>1abdee74-6c95-4b3e-bad3-63cbb1f8a69c</vt:lpwstr>
  </property>
  <property fmtid="{D5CDD505-2E9C-101B-9397-08002B2CF9AE}" pid="11" name="MSIP_Label_9e3dcb88-8425-4e1d-b1a3-bd5572915bbc_ContentBits">
    <vt:lpwstr>1</vt:lpwstr>
  </property>
  <property fmtid="{D5CDD505-2E9C-101B-9397-08002B2CF9AE}" pid="12" name="ContentTypeId">
    <vt:lpwstr>0x0101000901BDCEEAFF7145A726733A96431DF3</vt:lpwstr>
  </property>
  <property fmtid="{D5CDD505-2E9C-101B-9397-08002B2CF9AE}" pid="13" name="MediaServiceImageTags">
    <vt:lpwstr/>
  </property>
</Properties>
</file>